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4C" w:rsidRDefault="002E004C" w:rsidP="009B5C0D">
      <w:pPr>
        <w:rPr>
          <w:b/>
          <w:sz w:val="28"/>
          <w:szCs w:val="28"/>
        </w:rPr>
      </w:pPr>
    </w:p>
    <w:tbl>
      <w:tblPr>
        <w:tblW w:w="7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3"/>
      </w:tblGrid>
      <w:tr w:rsidR="006D0BF2" w:rsidRPr="006D0BF2" w:rsidTr="006D0BF2">
        <w:trPr>
          <w:trHeight w:val="300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F2" w:rsidRDefault="006D0BF2" w:rsidP="006D0BF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fi-FI"/>
              </w:rPr>
            </w:pPr>
          </w:p>
          <w:p w:rsidR="006D0BF2" w:rsidRDefault="006D0BF2" w:rsidP="006D0BF2">
            <w:pPr>
              <w:rPr>
                <w:b/>
                <w:sz w:val="28"/>
                <w:szCs w:val="28"/>
              </w:rPr>
            </w:pPr>
          </w:p>
          <w:p w:rsidR="006D0BF2" w:rsidRPr="006D0BF2" w:rsidRDefault="006D0BF2" w:rsidP="006D0BF2">
            <w:pPr>
              <w:rPr>
                <w:b/>
                <w:sz w:val="28"/>
                <w:szCs w:val="28"/>
              </w:rPr>
            </w:pPr>
            <w:r w:rsidRPr="009B5C0D">
              <w:rPr>
                <w:b/>
                <w:sz w:val="28"/>
                <w:szCs w:val="28"/>
              </w:rPr>
              <w:t xml:space="preserve">Oman käytön käyttöolosuhteiden ja aineiden </w:t>
            </w:r>
            <w:r>
              <w:rPr>
                <w:b/>
                <w:sz w:val="28"/>
                <w:szCs w:val="28"/>
              </w:rPr>
              <w:t>a</w:t>
            </w:r>
            <w:bookmarkStart w:id="0" w:name="_GoBack"/>
            <w:bookmarkEnd w:id="0"/>
            <w:r w:rsidRPr="009B5C0D">
              <w:rPr>
                <w:b/>
                <w:sz w:val="28"/>
                <w:szCs w:val="28"/>
              </w:rPr>
              <w:t>ltistumisskenaarioiden vertailu</w:t>
            </w:r>
          </w:p>
        </w:tc>
      </w:tr>
      <w:tr w:rsidR="006D0BF2" w:rsidRPr="006D0BF2" w:rsidTr="006D0BF2">
        <w:trPr>
          <w:trHeight w:val="300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F2" w:rsidRPr="006D0BF2" w:rsidRDefault="006D0BF2" w:rsidP="006D0B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i-FI"/>
              </w:rPr>
            </w:pPr>
            <w:r w:rsidRPr="006D0BF2">
              <w:rPr>
                <w:rFonts w:ascii="Calibri" w:eastAsia="Times New Roman" w:hAnsi="Calibri" w:cs="Arial"/>
                <w:color w:val="000000"/>
                <w:lang w:eastAsia="fi-FI"/>
              </w:rPr>
              <w:t>Toimintamalli jatkokäyttäjälle Altistumisskenaariot - vertaaminen omaan toimintaan</w:t>
            </w:r>
          </w:p>
        </w:tc>
      </w:tr>
      <w:tr w:rsidR="006D0BF2" w:rsidRPr="006D0BF2" w:rsidTr="006D0BF2">
        <w:trPr>
          <w:trHeight w:val="300"/>
        </w:trPr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BF2" w:rsidRPr="006D0BF2" w:rsidRDefault="006D0BF2" w:rsidP="006D0BF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fi-FI"/>
              </w:rPr>
            </w:pPr>
            <w:r>
              <w:rPr>
                <w:rFonts w:ascii="Calibri" w:eastAsia="Times New Roman" w:hAnsi="Calibri" w:cs="Arial"/>
                <w:color w:val="000000"/>
                <w:lang w:eastAsia="fi-FI"/>
              </w:rPr>
              <w:t>TUKES-opas (2015), Liite B.</w:t>
            </w:r>
          </w:p>
        </w:tc>
      </w:tr>
    </w:tbl>
    <w:p w:rsidR="006D0BF2" w:rsidRDefault="006D0BF2" w:rsidP="009B5C0D">
      <w:pPr>
        <w:rPr>
          <w:b/>
          <w:sz w:val="28"/>
          <w:szCs w:val="28"/>
        </w:rPr>
      </w:pPr>
    </w:p>
    <w:p w:rsidR="0026309F" w:rsidRPr="0026309F" w:rsidRDefault="0026309F" w:rsidP="0026309F">
      <w:pPr>
        <w:spacing w:after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Yritys</w:t>
      </w:r>
      <w:r w:rsidRPr="0026309F">
        <w:rPr>
          <w:sz w:val="28"/>
          <w:szCs w:val="28"/>
        </w:rPr>
        <w:t>______________________________________</w:t>
      </w:r>
    </w:p>
    <w:p w:rsidR="00C01CB7" w:rsidRDefault="00C01CB7" w:rsidP="0026309F">
      <w:pPr>
        <w:spacing w:after="0" w:line="360" w:lineRule="auto"/>
        <w:rPr>
          <w:i/>
          <w:sz w:val="28"/>
          <w:szCs w:val="28"/>
          <w:u w:val="single"/>
        </w:rPr>
      </w:pPr>
      <w:r w:rsidRPr="0026309F">
        <w:rPr>
          <w:rFonts w:ascii="Times New Roman" w:hAnsi="Times New Roman" w:cs="Times New Roman"/>
          <w:b/>
          <w:sz w:val="24"/>
          <w:szCs w:val="24"/>
        </w:rPr>
        <w:t>Prosessin nimi</w:t>
      </w:r>
      <w:r w:rsidRPr="0026309F">
        <w:rPr>
          <w:rFonts w:ascii="Times New Roman" w:hAnsi="Times New Roman" w:cs="Times New Roman"/>
          <w:sz w:val="24"/>
          <w:szCs w:val="24"/>
        </w:rPr>
        <w:t>___</w:t>
      </w:r>
      <w:r w:rsidRPr="00D4364D">
        <w:rPr>
          <w:b/>
          <w:i/>
          <w:sz w:val="28"/>
          <w:szCs w:val="28"/>
          <w:u w:val="single"/>
        </w:rPr>
        <w:t xml:space="preserve"> </w:t>
      </w:r>
    </w:p>
    <w:p w:rsidR="00C01CB7" w:rsidRPr="0026309F" w:rsidRDefault="00C01CB7" w:rsidP="00C01CB7">
      <w:pPr>
        <w:pStyle w:val="Otsikko2"/>
        <w:numPr>
          <w:ilvl w:val="0"/>
          <w:numId w:val="3"/>
        </w:numPr>
        <w:rPr>
          <w:rFonts w:eastAsia="Times New Roman"/>
          <w:sz w:val="28"/>
          <w:szCs w:val="28"/>
          <w:lang w:eastAsia="fi-FI"/>
        </w:rPr>
      </w:pPr>
      <w:r w:rsidRPr="00C01CB7">
        <w:rPr>
          <w:rFonts w:eastAsia="Times New Roman"/>
          <w:sz w:val="28"/>
          <w:szCs w:val="28"/>
          <w:lang w:eastAsia="fi-FI"/>
        </w:rPr>
        <w:t xml:space="preserve">Luettelo työpaikalla käytettävistä </w:t>
      </w:r>
      <w:r w:rsidR="0083205A">
        <w:rPr>
          <w:rFonts w:eastAsia="Times New Roman"/>
          <w:sz w:val="28"/>
          <w:szCs w:val="28"/>
          <w:lang w:eastAsia="fi-FI"/>
        </w:rPr>
        <w:t>aineista</w:t>
      </w:r>
    </w:p>
    <w:tbl>
      <w:tblPr>
        <w:tblStyle w:val="TaulukkoRuudukko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992"/>
        <w:gridCol w:w="1276"/>
        <w:gridCol w:w="1134"/>
        <w:gridCol w:w="2268"/>
      </w:tblGrid>
      <w:tr w:rsidR="0083205A" w:rsidRPr="00C01CB7" w:rsidTr="0083205A">
        <w:tc>
          <w:tcPr>
            <w:tcW w:w="1809" w:type="dxa"/>
            <w:shd w:val="clear" w:color="auto" w:fill="FFC000"/>
          </w:tcPr>
          <w:p w:rsidR="0083205A" w:rsidRPr="00C01CB7" w:rsidRDefault="0083205A" w:rsidP="00C01CB7">
            <w:pPr>
              <w:rPr>
                <w:rFonts w:eastAsia="Times New Roman" w:cs="Times New Roman"/>
                <w:b/>
                <w:lang w:eastAsia="fi-FI"/>
              </w:rPr>
            </w:pPr>
            <w:r w:rsidRPr="00C01CB7">
              <w:rPr>
                <w:rFonts w:eastAsia="Times New Roman" w:cs="Times New Roman"/>
                <w:b/>
                <w:lang w:eastAsia="fi-FI"/>
              </w:rPr>
              <w:t>Kauppanimi</w:t>
            </w:r>
          </w:p>
        </w:tc>
        <w:tc>
          <w:tcPr>
            <w:tcW w:w="1134" w:type="dxa"/>
            <w:shd w:val="clear" w:color="auto" w:fill="FFC000"/>
          </w:tcPr>
          <w:p w:rsidR="0083205A" w:rsidRPr="00C01CB7" w:rsidRDefault="0083205A" w:rsidP="00C01CB7">
            <w:pPr>
              <w:rPr>
                <w:rFonts w:eastAsia="Times New Roman" w:cs="Times New Roman"/>
                <w:b/>
                <w:lang w:eastAsia="fi-FI"/>
              </w:rPr>
            </w:pPr>
            <w:r w:rsidRPr="00C01CB7">
              <w:rPr>
                <w:rFonts w:eastAsia="Times New Roman" w:cs="Times New Roman"/>
                <w:b/>
                <w:lang w:eastAsia="fi-FI"/>
              </w:rPr>
              <w:t>Varasto</w:t>
            </w:r>
            <w:r>
              <w:rPr>
                <w:rFonts w:eastAsia="Times New Roman" w:cs="Times New Roman"/>
                <w:b/>
                <w:lang w:eastAsia="fi-FI"/>
              </w:rPr>
              <w:t>-</w:t>
            </w:r>
            <w:r w:rsidRPr="00C01CB7">
              <w:rPr>
                <w:rFonts w:eastAsia="Times New Roman" w:cs="Times New Roman"/>
                <w:b/>
                <w:lang w:eastAsia="fi-FI"/>
              </w:rPr>
              <w:t>koodi</w:t>
            </w:r>
          </w:p>
        </w:tc>
        <w:tc>
          <w:tcPr>
            <w:tcW w:w="1276" w:type="dxa"/>
            <w:shd w:val="clear" w:color="auto" w:fill="FFC000"/>
          </w:tcPr>
          <w:p w:rsidR="0083205A" w:rsidRPr="00C01CB7" w:rsidRDefault="0083205A" w:rsidP="00C01CB7">
            <w:pPr>
              <w:rPr>
                <w:rFonts w:eastAsia="Times New Roman" w:cs="Times New Roman"/>
                <w:b/>
                <w:lang w:eastAsia="fi-FI"/>
              </w:rPr>
            </w:pPr>
            <w:r>
              <w:rPr>
                <w:rFonts w:eastAsia="Times New Roman" w:cs="Times New Roman"/>
                <w:b/>
                <w:lang w:eastAsia="fi-FI"/>
              </w:rPr>
              <w:t>Koostumus</w:t>
            </w:r>
          </w:p>
        </w:tc>
        <w:tc>
          <w:tcPr>
            <w:tcW w:w="992" w:type="dxa"/>
            <w:shd w:val="clear" w:color="auto" w:fill="FFC000"/>
          </w:tcPr>
          <w:p w:rsidR="0083205A" w:rsidRPr="00C01CB7" w:rsidRDefault="0083205A" w:rsidP="00C01CB7">
            <w:pPr>
              <w:rPr>
                <w:rFonts w:eastAsia="Times New Roman" w:cs="Times New Roman"/>
                <w:b/>
                <w:lang w:eastAsia="fi-FI"/>
              </w:rPr>
            </w:pPr>
            <w:r w:rsidRPr="00C01CB7">
              <w:rPr>
                <w:rFonts w:eastAsia="Times New Roman" w:cs="Times New Roman"/>
                <w:b/>
                <w:lang w:eastAsia="fi-FI"/>
              </w:rPr>
              <w:t>Luokitus</w:t>
            </w:r>
          </w:p>
        </w:tc>
        <w:tc>
          <w:tcPr>
            <w:tcW w:w="1276" w:type="dxa"/>
            <w:shd w:val="clear" w:color="auto" w:fill="FFC000"/>
          </w:tcPr>
          <w:p w:rsidR="0083205A" w:rsidRPr="00C01CB7" w:rsidRDefault="0083205A" w:rsidP="00C01CB7">
            <w:pPr>
              <w:rPr>
                <w:rFonts w:eastAsia="Times New Roman" w:cs="Times New Roman"/>
                <w:b/>
                <w:lang w:eastAsia="fi-FI"/>
              </w:rPr>
            </w:pPr>
            <w:r w:rsidRPr="00C01CB7">
              <w:rPr>
                <w:rFonts w:eastAsia="Times New Roman" w:cs="Times New Roman"/>
                <w:b/>
                <w:lang w:eastAsia="fi-FI"/>
              </w:rPr>
              <w:t>ktt, pvm</w:t>
            </w:r>
          </w:p>
        </w:tc>
        <w:tc>
          <w:tcPr>
            <w:tcW w:w="1134" w:type="dxa"/>
            <w:shd w:val="clear" w:color="auto" w:fill="FFC000"/>
          </w:tcPr>
          <w:p w:rsidR="0083205A" w:rsidRPr="00C01CB7" w:rsidRDefault="0083205A" w:rsidP="00C01CB7">
            <w:pPr>
              <w:rPr>
                <w:rFonts w:eastAsia="Times New Roman" w:cs="Times New Roman"/>
                <w:b/>
                <w:bCs/>
                <w:lang w:eastAsia="fi-FI"/>
              </w:rPr>
            </w:pPr>
            <w:r w:rsidRPr="00C01CB7">
              <w:rPr>
                <w:rFonts w:eastAsia="Times New Roman" w:cs="Times New Roman"/>
                <w:b/>
                <w:bCs/>
                <w:lang w:eastAsia="fi-FI"/>
              </w:rPr>
              <w:t>AS liitteenä</w:t>
            </w:r>
          </w:p>
        </w:tc>
        <w:tc>
          <w:tcPr>
            <w:tcW w:w="2268" w:type="dxa"/>
            <w:shd w:val="clear" w:color="auto" w:fill="FFC000"/>
          </w:tcPr>
          <w:p w:rsidR="0083205A" w:rsidRPr="00C01CB7" w:rsidRDefault="0083205A" w:rsidP="00C01CB7">
            <w:pPr>
              <w:rPr>
                <w:rFonts w:eastAsia="Times New Roman" w:cs="Times New Roman"/>
                <w:b/>
                <w:lang w:eastAsia="fi-FI"/>
              </w:rPr>
            </w:pPr>
            <w:r w:rsidRPr="00C01CB7">
              <w:rPr>
                <w:rFonts w:eastAsia="Times New Roman" w:cs="Times New Roman"/>
                <w:b/>
                <w:bCs/>
                <w:lang w:eastAsia="fi-FI"/>
              </w:rPr>
              <w:t>AS:n mukaisuuden tarkastus, pvm. Katso prosessien lomakkeet</w:t>
            </w:r>
          </w:p>
        </w:tc>
      </w:tr>
      <w:tr w:rsidR="0083205A" w:rsidRPr="00C01CB7" w:rsidTr="0083205A">
        <w:tc>
          <w:tcPr>
            <w:tcW w:w="1809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iCs/>
                <w:lang w:eastAsia="fi-FI"/>
              </w:rPr>
            </w:pPr>
          </w:p>
        </w:tc>
        <w:tc>
          <w:tcPr>
            <w:tcW w:w="1134" w:type="dxa"/>
          </w:tcPr>
          <w:p w:rsidR="0083205A" w:rsidRPr="00C01CB7" w:rsidRDefault="0083205A" w:rsidP="00C01CB7">
            <w:pPr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76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iCs/>
                <w:lang w:eastAsia="fi-FI"/>
              </w:rPr>
            </w:pPr>
          </w:p>
        </w:tc>
        <w:tc>
          <w:tcPr>
            <w:tcW w:w="992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iCs/>
                <w:lang w:eastAsia="fi-FI"/>
              </w:rPr>
            </w:pPr>
          </w:p>
        </w:tc>
        <w:tc>
          <w:tcPr>
            <w:tcW w:w="1276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sz w:val="24"/>
                <w:szCs w:val="24"/>
                <w:lang w:eastAsia="fi-FI"/>
              </w:rPr>
            </w:pPr>
          </w:p>
        </w:tc>
        <w:tc>
          <w:tcPr>
            <w:tcW w:w="1134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sz w:val="24"/>
                <w:szCs w:val="24"/>
                <w:lang w:eastAsia="fi-FI"/>
              </w:rPr>
            </w:pPr>
          </w:p>
        </w:tc>
        <w:tc>
          <w:tcPr>
            <w:tcW w:w="2268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83205A" w:rsidRPr="00C01CB7" w:rsidTr="0083205A">
        <w:tc>
          <w:tcPr>
            <w:tcW w:w="1809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iCs/>
                <w:lang w:eastAsia="fi-FI"/>
              </w:rPr>
            </w:pPr>
          </w:p>
        </w:tc>
        <w:tc>
          <w:tcPr>
            <w:tcW w:w="1134" w:type="dxa"/>
          </w:tcPr>
          <w:p w:rsidR="0083205A" w:rsidRPr="00C01CB7" w:rsidRDefault="0083205A" w:rsidP="00C01CB7">
            <w:pPr>
              <w:rPr>
                <w:rFonts w:eastAsia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76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iCs/>
                <w:lang w:eastAsia="fi-FI"/>
              </w:rPr>
            </w:pPr>
          </w:p>
        </w:tc>
        <w:tc>
          <w:tcPr>
            <w:tcW w:w="992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iCs/>
                <w:lang w:eastAsia="fi-FI"/>
              </w:rPr>
            </w:pPr>
          </w:p>
        </w:tc>
        <w:tc>
          <w:tcPr>
            <w:tcW w:w="1276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sz w:val="24"/>
                <w:szCs w:val="24"/>
                <w:lang w:eastAsia="fi-FI"/>
              </w:rPr>
            </w:pPr>
          </w:p>
        </w:tc>
        <w:tc>
          <w:tcPr>
            <w:tcW w:w="1134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sz w:val="24"/>
                <w:szCs w:val="24"/>
                <w:lang w:eastAsia="fi-FI"/>
              </w:rPr>
            </w:pPr>
          </w:p>
        </w:tc>
        <w:tc>
          <w:tcPr>
            <w:tcW w:w="2268" w:type="dxa"/>
          </w:tcPr>
          <w:p w:rsidR="0083205A" w:rsidRPr="00C01CB7" w:rsidRDefault="0083205A" w:rsidP="00C01CB7">
            <w:pPr>
              <w:rPr>
                <w:rFonts w:eastAsia="Times New Roman" w:cs="Times New Roman"/>
                <w:i/>
                <w:sz w:val="24"/>
                <w:szCs w:val="24"/>
                <w:lang w:eastAsia="fi-FI"/>
              </w:rPr>
            </w:pPr>
          </w:p>
        </w:tc>
      </w:tr>
      <w:tr w:rsidR="0083205A" w:rsidRPr="00C01CB7" w:rsidTr="0083205A">
        <w:tc>
          <w:tcPr>
            <w:tcW w:w="1809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  <w:tc>
          <w:tcPr>
            <w:tcW w:w="1134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76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92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76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34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68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83205A" w:rsidRPr="00C01CB7" w:rsidTr="0083205A">
        <w:tc>
          <w:tcPr>
            <w:tcW w:w="1809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fi-FI"/>
              </w:rPr>
            </w:pPr>
          </w:p>
        </w:tc>
        <w:tc>
          <w:tcPr>
            <w:tcW w:w="1134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76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92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276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134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2268" w:type="dxa"/>
          </w:tcPr>
          <w:p w:rsidR="0083205A" w:rsidRPr="00C01CB7" w:rsidRDefault="0083205A" w:rsidP="00C01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BA5311" w:rsidRDefault="00BA5311"/>
    <w:p w:rsidR="00BA5311" w:rsidRDefault="00BA5311" w:rsidP="00BA5311">
      <w:pPr>
        <w:spacing w:after="0" w:line="240" w:lineRule="auto"/>
      </w:pPr>
      <w:r>
        <w:br w:type="column"/>
      </w:r>
    </w:p>
    <w:p w:rsidR="003C2165" w:rsidRDefault="003C2165" w:rsidP="00C01CB7">
      <w:pPr>
        <w:pStyle w:val="Otsikko1"/>
        <w:numPr>
          <w:ilvl w:val="0"/>
          <w:numId w:val="3"/>
        </w:numPr>
      </w:pPr>
      <w:r w:rsidRPr="003C2165">
        <w:t>Kooste prosessin vaiheista (PROC)</w:t>
      </w:r>
    </w:p>
    <w:p w:rsidR="006A5DA2" w:rsidRPr="006A5DA2" w:rsidRDefault="006A5DA2" w:rsidP="006A5DA2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544"/>
      </w:tblGrid>
      <w:tr w:rsidR="003C2165" w:rsidTr="0083205A">
        <w:tc>
          <w:tcPr>
            <w:tcW w:w="4111" w:type="dxa"/>
            <w:shd w:val="clear" w:color="auto" w:fill="FFC000"/>
          </w:tcPr>
          <w:p w:rsidR="003C2165" w:rsidRPr="00C01CB7" w:rsidRDefault="003C2165" w:rsidP="006A5DA2">
            <w:pPr>
              <w:pStyle w:val="Eivli"/>
              <w:rPr>
                <w:b/>
              </w:rPr>
            </w:pPr>
            <w:r w:rsidRPr="00C01CB7">
              <w:rPr>
                <w:b/>
              </w:rPr>
              <w:t>Käyttötarkoitus (SU)</w:t>
            </w: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  <w:r w:rsidRPr="00D4364D">
              <w:t>Pesuaineen valmistus, yksi 1000 l:n valmistuserä/pv ja tuotantoa 100 pv/vuosi</w:t>
            </w:r>
          </w:p>
        </w:tc>
      </w:tr>
      <w:tr w:rsidR="003C2165" w:rsidTr="0083205A">
        <w:tc>
          <w:tcPr>
            <w:tcW w:w="4111" w:type="dxa"/>
            <w:shd w:val="clear" w:color="auto" w:fill="FFC000"/>
          </w:tcPr>
          <w:p w:rsidR="003C2165" w:rsidRPr="00C01CB7" w:rsidRDefault="003C2165" w:rsidP="006A5DA2">
            <w:pPr>
              <w:pStyle w:val="Eivli"/>
              <w:rPr>
                <w:b/>
              </w:rPr>
            </w:pPr>
            <w:r w:rsidRPr="00C01CB7">
              <w:rPr>
                <w:b/>
              </w:rPr>
              <w:t>Prosessin vaiheet</w:t>
            </w: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</w:p>
        </w:tc>
      </w:tr>
      <w:tr w:rsidR="003C2165" w:rsidTr="008E7387">
        <w:tc>
          <w:tcPr>
            <w:tcW w:w="4111" w:type="dxa"/>
          </w:tcPr>
          <w:p w:rsidR="003C2165" w:rsidRPr="00D4364D" w:rsidRDefault="003C2165" w:rsidP="002E004C">
            <w:pPr>
              <w:pStyle w:val="Eivli"/>
            </w:pPr>
            <w:r w:rsidRPr="00D4364D">
              <w:t xml:space="preserve">Vaihe </w:t>
            </w:r>
            <w:r w:rsidR="002E004C">
              <w:t>X. Vaiheen nimi</w:t>
            </w:r>
          </w:p>
        </w:tc>
        <w:tc>
          <w:tcPr>
            <w:tcW w:w="3544" w:type="dxa"/>
          </w:tcPr>
          <w:p w:rsidR="003C2165" w:rsidRPr="00D4364D" w:rsidRDefault="003C2165" w:rsidP="002E004C">
            <w:pPr>
              <w:pStyle w:val="Eivli"/>
            </w:pPr>
            <w:r w:rsidRPr="00D4364D">
              <w:t>PROC</w:t>
            </w:r>
            <w:r w:rsidR="002E004C">
              <w:t>X</w:t>
            </w:r>
          </w:p>
        </w:tc>
      </w:tr>
      <w:tr w:rsidR="003C2165" w:rsidTr="008E7387">
        <w:tc>
          <w:tcPr>
            <w:tcW w:w="4111" w:type="dxa"/>
          </w:tcPr>
          <w:p w:rsidR="003C2165" w:rsidRPr="00D4364D" w:rsidRDefault="003C2165" w:rsidP="006A5DA2">
            <w:pPr>
              <w:pStyle w:val="Eivli"/>
            </w:pP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</w:p>
        </w:tc>
      </w:tr>
      <w:tr w:rsidR="003C2165" w:rsidTr="008E7387">
        <w:tc>
          <w:tcPr>
            <w:tcW w:w="4111" w:type="dxa"/>
          </w:tcPr>
          <w:p w:rsidR="003C2165" w:rsidRPr="00D4364D" w:rsidRDefault="003C2165" w:rsidP="006A5DA2">
            <w:pPr>
              <w:pStyle w:val="Eivli"/>
            </w:pP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</w:p>
        </w:tc>
      </w:tr>
      <w:tr w:rsidR="003C2165" w:rsidTr="008E7387">
        <w:tc>
          <w:tcPr>
            <w:tcW w:w="4111" w:type="dxa"/>
          </w:tcPr>
          <w:p w:rsidR="003C2165" w:rsidRPr="00D4364D" w:rsidRDefault="003C2165" w:rsidP="006A5DA2">
            <w:pPr>
              <w:pStyle w:val="Eivli"/>
            </w:pP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</w:p>
        </w:tc>
      </w:tr>
      <w:tr w:rsidR="003C2165" w:rsidTr="008E7387">
        <w:tc>
          <w:tcPr>
            <w:tcW w:w="4111" w:type="dxa"/>
          </w:tcPr>
          <w:p w:rsidR="003C2165" w:rsidRPr="00D4364D" w:rsidRDefault="003C2165" w:rsidP="006A5DA2">
            <w:pPr>
              <w:pStyle w:val="Eivli"/>
            </w:pP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</w:p>
        </w:tc>
      </w:tr>
      <w:tr w:rsidR="003C2165" w:rsidTr="008E7387">
        <w:tc>
          <w:tcPr>
            <w:tcW w:w="4111" w:type="dxa"/>
          </w:tcPr>
          <w:p w:rsidR="003C2165" w:rsidRPr="00D4364D" w:rsidRDefault="003C2165" w:rsidP="006A5DA2">
            <w:pPr>
              <w:pStyle w:val="Eivli"/>
            </w:pP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</w:p>
        </w:tc>
      </w:tr>
      <w:tr w:rsidR="003C2165" w:rsidTr="008E7387">
        <w:tc>
          <w:tcPr>
            <w:tcW w:w="4111" w:type="dxa"/>
          </w:tcPr>
          <w:p w:rsidR="003C2165" w:rsidRPr="00D4364D" w:rsidRDefault="003C2165" w:rsidP="006A5DA2">
            <w:pPr>
              <w:pStyle w:val="Eivli"/>
            </w:pP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</w:p>
        </w:tc>
      </w:tr>
      <w:tr w:rsidR="003C2165" w:rsidTr="008E7387">
        <w:tc>
          <w:tcPr>
            <w:tcW w:w="4111" w:type="dxa"/>
          </w:tcPr>
          <w:p w:rsidR="003C2165" w:rsidRPr="00D4364D" w:rsidRDefault="003C2165" w:rsidP="006A5DA2">
            <w:pPr>
              <w:pStyle w:val="Eivli"/>
            </w:pP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</w:p>
        </w:tc>
      </w:tr>
      <w:tr w:rsidR="003C2165" w:rsidTr="008E7387">
        <w:tc>
          <w:tcPr>
            <w:tcW w:w="4111" w:type="dxa"/>
          </w:tcPr>
          <w:p w:rsidR="003C2165" w:rsidRPr="00D4364D" w:rsidRDefault="003C2165" w:rsidP="006A5DA2">
            <w:pPr>
              <w:pStyle w:val="Eivli"/>
            </w:pPr>
          </w:p>
        </w:tc>
        <w:tc>
          <w:tcPr>
            <w:tcW w:w="3544" w:type="dxa"/>
          </w:tcPr>
          <w:p w:rsidR="003C2165" w:rsidRPr="00D4364D" w:rsidRDefault="003C2165" w:rsidP="006A5DA2">
            <w:pPr>
              <w:pStyle w:val="Eivli"/>
            </w:pPr>
          </w:p>
        </w:tc>
      </w:tr>
    </w:tbl>
    <w:p w:rsidR="008B3067" w:rsidRDefault="00D4364D" w:rsidP="00C01CB7">
      <w:pPr>
        <w:pStyle w:val="Otsikko1"/>
        <w:numPr>
          <w:ilvl w:val="0"/>
          <w:numId w:val="3"/>
        </w:numPr>
      </w:pPr>
      <w:r>
        <w:t>K</w:t>
      </w:r>
      <w:r w:rsidR="008B3067" w:rsidRPr="003C2165">
        <w:t xml:space="preserve">äyttöolosuhteiden ja altistumisskenaarioiden </w:t>
      </w:r>
      <w:r>
        <w:t xml:space="preserve">tietojen </w:t>
      </w:r>
      <w:r w:rsidR="008B3067" w:rsidRPr="003C2165">
        <w:t xml:space="preserve">vertailu </w:t>
      </w:r>
      <w:r w:rsidR="008B3067">
        <w:t>tehdään</w:t>
      </w:r>
      <w:r w:rsidR="006A5DA2">
        <w:t xml:space="preserve"> </w:t>
      </w:r>
      <w:r w:rsidR="008B3067" w:rsidRPr="003C2165">
        <w:t>prosessivaiheittain</w:t>
      </w:r>
    </w:p>
    <w:p w:rsidR="00D4364D" w:rsidRPr="00D4364D" w:rsidRDefault="008B3067" w:rsidP="00D4364D">
      <w:pPr>
        <w:ind w:left="1304"/>
      </w:pPr>
      <w:r w:rsidRPr="00D4364D">
        <w:t xml:space="preserve">Kustakin prosessivaiheesta tehdään oma tarkastelu, jossa voi olla useita sivuja kemikaalien lukumäärästä riippuen. </w:t>
      </w:r>
      <w:r w:rsidR="00D4364D" w:rsidRPr="00D4364D">
        <w:t>Kaikkien</w:t>
      </w:r>
      <w:r w:rsidR="008F4E3C">
        <w:t xml:space="preserve"> aineiden toisiaan vastaavia </w:t>
      </w:r>
      <w:r w:rsidR="00D4364D" w:rsidRPr="00D4364D">
        <w:t>AS:n vaatimuksia verrataan</w:t>
      </w:r>
      <w:r w:rsidR="008E7387">
        <w:t xml:space="preserve"> käyttöolosuhteisiin. T</w:t>
      </w:r>
      <w:r w:rsidR="00D4364D" w:rsidRPr="00D4364D">
        <w:t xml:space="preserve">oiminta, kuten suojaimet, valitaan tiukimman vaatimuksen mukaan. </w:t>
      </w:r>
      <w:r w:rsidR="008F4E3C">
        <w:t>Joku lyhyt</w:t>
      </w:r>
      <w:r w:rsidR="00D4364D" w:rsidRPr="00D4364D">
        <w:t xml:space="preserve"> työvaihe </w:t>
      </w:r>
      <w:r w:rsidR="008F4E3C">
        <w:t xml:space="preserve">voi vaatia suurempaa suojausta, jolloin </w:t>
      </w:r>
      <w:r w:rsidR="00D4364D" w:rsidRPr="00D4364D">
        <w:t xml:space="preserve">sille </w:t>
      </w:r>
      <w:r w:rsidR="008F4E3C">
        <w:t xml:space="preserve">voi </w:t>
      </w:r>
      <w:r w:rsidR="00D4364D" w:rsidRPr="00D4364D">
        <w:t xml:space="preserve">olla erilaiset suojaimet, </w:t>
      </w:r>
      <w:r w:rsidR="008F4E3C">
        <w:t>(</w:t>
      </w:r>
      <w:r w:rsidR="00D4364D" w:rsidRPr="00D4364D">
        <w:t>esim. näytteenot</w:t>
      </w:r>
      <w:r w:rsidR="00AD3C9F">
        <w:t>to</w:t>
      </w:r>
      <w:r w:rsidR="00D4364D" w:rsidRPr="00D4364D">
        <w:t xml:space="preserve">, </w:t>
      </w:r>
      <w:r w:rsidR="00AD3C9F">
        <w:t xml:space="preserve">astian </w:t>
      </w:r>
      <w:r w:rsidR="00D4364D" w:rsidRPr="00D4364D">
        <w:t>luukun avaus tarkistuksia tehtäessä</w:t>
      </w:r>
      <w:r w:rsidR="008F4E3C">
        <w:t>)</w:t>
      </w:r>
      <w:r w:rsidR="008E7387">
        <w:t xml:space="preserve">. Siitä on merkintä käyttöolosuhteissa. </w:t>
      </w:r>
    </w:p>
    <w:p w:rsidR="006A5DA2" w:rsidRDefault="00D4364D" w:rsidP="00D4364D">
      <w:pPr>
        <w:ind w:left="1304"/>
        <w:rPr>
          <w:sz w:val="28"/>
          <w:szCs w:val="28"/>
        </w:rPr>
      </w:pPr>
      <w:r w:rsidRPr="00D4364D">
        <w:t xml:space="preserve">Kun otetaan käyttöön uusi </w:t>
      </w:r>
      <w:r w:rsidR="006A5DA2">
        <w:t>aine</w:t>
      </w:r>
      <w:r w:rsidRPr="00D4364D">
        <w:t xml:space="preserve"> tai saadaan </w:t>
      </w:r>
      <w:r w:rsidR="006A5DA2">
        <w:t xml:space="preserve">aineelle </w:t>
      </w:r>
      <w:r w:rsidRPr="00D4364D">
        <w:t>uusi</w:t>
      </w:r>
      <w:r w:rsidR="006A5DA2">
        <w:t xml:space="preserve"> altistumisskenaario</w:t>
      </w:r>
      <w:r w:rsidRPr="00D4364D">
        <w:t>, AS:n tiedot lisätään ja niitä verrataan rinnakkain muiden kemikaalien AS:n vastaaviin tietoihin ja tehdään tarvittaessa muutokset</w:t>
      </w:r>
      <w:r w:rsidR="006A5DA2">
        <w:t xml:space="preserve"> prosessin käyttöolosuhteisiin</w:t>
      </w:r>
      <w:r w:rsidRPr="00D4364D">
        <w:t>.</w:t>
      </w:r>
      <w:r>
        <w:rPr>
          <w:sz w:val="28"/>
          <w:szCs w:val="28"/>
        </w:rPr>
        <w:t xml:space="preserve"> </w:t>
      </w:r>
    </w:p>
    <w:p w:rsidR="00AD3C9F" w:rsidRDefault="006A5DA2" w:rsidP="00D4364D">
      <w:pPr>
        <w:ind w:left="1304"/>
      </w:pPr>
      <w:r w:rsidRPr="006A5DA2">
        <w:t>Muutokset kirjataan niin, että aikaisemmatkin muutokset näkyvät.</w:t>
      </w:r>
    </w:p>
    <w:p w:rsidR="00C01CB7" w:rsidRDefault="00AD3C9F" w:rsidP="00D4364D">
      <w:pPr>
        <w:ind w:left="1304"/>
        <w:rPr>
          <w:b/>
        </w:rPr>
      </w:pPr>
      <w:r>
        <w:t>Merkintä ”OK”</w:t>
      </w:r>
      <w:r w:rsidR="00C01CB7">
        <w:t xml:space="preserve"> lomakkeessa </w:t>
      </w:r>
      <w:r>
        <w:t>tarkoittaa, että käytäntö ko. prosessivaiheessa on</w:t>
      </w:r>
      <w:r w:rsidRPr="00AD3C9F">
        <w:t xml:space="preserve"> </w:t>
      </w:r>
      <w:r>
        <w:t>käytettyjen aineiden altistumisskenaarioiden vaatimusten mukaista.</w:t>
      </w:r>
      <w:r w:rsidRPr="006A5DA2">
        <w:rPr>
          <w:b/>
        </w:rPr>
        <w:t xml:space="preserve"> </w:t>
      </w:r>
    </w:p>
    <w:p w:rsidR="00273EAC" w:rsidRPr="00C01CB7" w:rsidRDefault="00C01CB7" w:rsidP="00D4364D">
      <w:pPr>
        <w:ind w:left="1304"/>
      </w:pPr>
      <w:r w:rsidRPr="00C01CB7">
        <w:t>Prosessivaiheen tarkastuksen päätyttyä merkitään päätösajankohta aineluettelon sarakkeeseen</w:t>
      </w:r>
      <w:r>
        <w:t xml:space="preserve"> kunkin aineen kohdalle</w:t>
      </w:r>
      <w:r w:rsidRPr="00C01CB7">
        <w:t xml:space="preserve">. </w:t>
      </w:r>
      <w:r w:rsidR="008E1FD9">
        <w:t>Yksittäiset muutokset näkyvät prosessivaihekohtaisissa lomakkeissa.</w:t>
      </w:r>
      <w:r w:rsidR="00273EAC" w:rsidRPr="00C01CB7">
        <w:br w:type="page"/>
      </w:r>
    </w:p>
    <w:p w:rsidR="002E004C" w:rsidRDefault="002E004C" w:rsidP="0026309F">
      <w:pPr>
        <w:spacing w:after="120" w:line="240" w:lineRule="auto"/>
        <w:rPr>
          <w:b/>
          <w:sz w:val="32"/>
          <w:szCs w:val="32"/>
        </w:rPr>
      </w:pPr>
    </w:p>
    <w:p w:rsidR="002E004C" w:rsidRDefault="002E004C" w:rsidP="0026309F">
      <w:pPr>
        <w:spacing w:after="120" w:line="240" w:lineRule="auto"/>
        <w:rPr>
          <w:b/>
          <w:sz w:val="32"/>
          <w:szCs w:val="32"/>
        </w:rPr>
      </w:pPr>
    </w:p>
    <w:p w:rsidR="00423C26" w:rsidRPr="008E1FD9" w:rsidRDefault="008357FD" w:rsidP="0026309F">
      <w:pPr>
        <w:spacing w:after="120" w:line="240" w:lineRule="auto"/>
        <w:rPr>
          <w:b/>
          <w:sz w:val="28"/>
          <w:szCs w:val="28"/>
        </w:rPr>
      </w:pPr>
      <w:r w:rsidRPr="008E1FD9">
        <w:rPr>
          <w:b/>
          <w:sz w:val="28"/>
          <w:szCs w:val="28"/>
        </w:rPr>
        <w:t>Vaihe</w:t>
      </w:r>
      <w:r w:rsidR="00651293" w:rsidRPr="008E1FD9">
        <w:rPr>
          <w:b/>
          <w:sz w:val="28"/>
          <w:szCs w:val="28"/>
        </w:rPr>
        <w:t xml:space="preserve"> 1</w:t>
      </w:r>
      <w:r w:rsidR="00BC14ED" w:rsidRPr="008E1FD9">
        <w:rPr>
          <w:b/>
          <w:sz w:val="28"/>
          <w:szCs w:val="28"/>
        </w:rPr>
        <w:tab/>
      </w:r>
      <w:r w:rsidRPr="008E1FD9">
        <w:rPr>
          <w:b/>
          <w:sz w:val="28"/>
          <w:szCs w:val="28"/>
        </w:rPr>
        <w:t xml:space="preserve"> Raaka-aineiden vastaanotto ja varastointi</w:t>
      </w:r>
    </w:p>
    <w:tbl>
      <w:tblPr>
        <w:tblStyle w:val="TaulukkoRuudukko"/>
        <w:tblW w:w="10090" w:type="dxa"/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2251"/>
        <w:gridCol w:w="2710"/>
        <w:gridCol w:w="1335"/>
      </w:tblGrid>
      <w:tr w:rsidR="008B3067" w:rsidTr="006A5DA2">
        <w:tc>
          <w:tcPr>
            <w:tcW w:w="1897" w:type="dxa"/>
            <w:shd w:val="clear" w:color="auto" w:fill="FFC000"/>
          </w:tcPr>
          <w:p w:rsidR="008B3067" w:rsidRPr="008E7387" w:rsidRDefault="008B3067" w:rsidP="008E7387">
            <w:pPr>
              <w:jc w:val="center"/>
              <w:rPr>
                <w:b/>
              </w:rPr>
            </w:pPr>
            <w:r w:rsidRPr="008E7387">
              <w:rPr>
                <w:b/>
              </w:rPr>
              <w:t>Prosessivaihe</w:t>
            </w:r>
            <w:r w:rsidR="008E7387" w:rsidRPr="008E7387">
              <w:rPr>
                <w:b/>
              </w:rPr>
              <w:t xml:space="preserve"> </w:t>
            </w:r>
            <w:r w:rsidR="002E004C">
              <w:rPr>
                <w:b/>
              </w:rPr>
              <w:t>X</w:t>
            </w:r>
          </w:p>
          <w:p w:rsidR="008E7387" w:rsidRDefault="008E7387" w:rsidP="002E004C">
            <w:pPr>
              <w:jc w:val="center"/>
            </w:pPr>
            <w:r w:rsidRPr="008E7387">
              <w:rPr>
                <w:b/>
              </w:rPr>
              <w:t xml:space="preserve">PROC </w:t>
            </w:r>
            <w:r w:rsidR="002E004C">
              <w:rPr>
                <w:b/>
              </w:rPr>
              <w:t>X</w:t>
            </w:r>
          </w:p>
        </w:tc>
        <w:tc>
          <w:tcPr>
            <w:tcW w:w="1897" w:type="dxa"/>
            <w:shd w:val="clear" w:color="auto" w:fill="FFC000"/>
          </w:tcPr>
          <w:p w:rsidR="008B3067" w:rsidRPr="006A5DA2" w:rsidRDefault="008B3067">
            <w:pPr>
              <w:rPr>
                <w:b/>
              </w:rPr>
            </w:pPr>
            <w:r w:rsidRPr="006A5DA2">
              <w:rPr>
                <w:b/>
              </w:rPr>
              <w:t>Käyttöolosuhteet</w:t>
            </w:r>
          </w:p>
        </w:tc>
        <w:tc>
          <w:tcPr>
            <w:tcW w:w="2251" w:type="dxa"/>
            <w:shd w:val="clear" w:color="auto" w:fill="FFC000"/>
          </w:tcPr>
          <w:p w:rsidR="008B3067" w:rsidRPr="006A5DA2" w:rsidRDefault="008B3067">
            <w:pPr>
              <w:rPr>
                <w:b/>
              </w:rPr>
            </w:pPr>
            <w:r w:rsidRPr="006A5DA2">
              <w:rPr>
                <w:b/>
              </w:rPr>
              <w:t>Aine 1</w:t>
            </w:r>
          </w:p>
          <w:p w:rsidR="008B3067" w:rsidRDefault="008B3067">
            <w:r>
              <w:t>AS tiedot</w:t>
            </w:r>
          </w:p>
          <w:p w:rsidR="008B3067" w:rsidRPr="0003370B" w:rsidRDefault="008B3067">
            <w:pPr>
              <w:rPr>
                <w:sz w:val="18"/>
                <w:szCs w:val="18"/>
              </w:rPr>
            </w:pPr>
            <w:r w:rsidRPr="0003370B">
              <w:rPr>
                <w:sz w:val="18"/>
                <w:szCs w:val="18"/>
              </w:rPr>
              <w:t>(- = ei maini</w:t>
            </w:r>
            <w:r>
              <w:rPr>
                <w:sz w:val="18"/>
                <w:szCs w:val="18"/>
              </w:rPr>
              <w:t>n</w:t>
            </w:r>
            <w:r w:rsidRPr="0003370B">
              <w:rPr>
                <w:sz w:val="18"/>
                <w:szCs w:val="18"/>
              </w:rPr>
              <w:t>taa AS/KTT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10" w:type="dxa"/>
            <w:shd w:val="clear" w:color="auto" w:fill="FFC000"/>
          </w:tcPr>
          <w:p w:rsidR="008B3067" w:rsidRPr="006A5DA2" w:rsidRDefault="008B3067">
            <w:pPr>
              <w:rPr>
                <w:b/>
              </w:rPr>
            </w:pPr>
            <w:r w:rsidRPr="006A5DA2">
              <w:rPr>
                <w:b/>
              </w:rPr>
              <w:t>Aine 2</w:t>
            </w:r>
          </w:p>
          <w:p w:rsidR="008B3067" w:rsidRDefault="008B3067" w:rsidP="0003370B">
            <w:r>
              <w:t>AS tiedot</w:t>
            </w:r>
          </w:p>
          <w:p w:rsidR="008B3067" w:rsidRDefault="008B3067" w:rsidP="0003370B">
            <w:r w:rsidRPr="0003370B">
              <w:rPr>
                <w:sz w:val="18"/>
                <w:szCs w:val="18"/>
              </w:rPr>
              <w:t>(- = ei maini</w:t>
            </w:r>
            <w:r>
              <w:rPr>
                <w:sz w:val="18"/>
                <w:szCs w:val="18"/>
              </w:rPr>
              <w:t>n</w:t>
            </w:r>
            <w:r w:rsidRPr="0003370B">
              <w:rPr>
                <w:sz w:val="18"/>
                <w:szCs w:val="18"/>
              </w:rPr>
              <w:t>taa AS/KTT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35" w:type="dxa"/>
            <w:shd w:val="clear" w:color="auto" w:fill="FFC000"/>
          </w:tcPr>
          <w:p w:rsidR="008B3067" w:rsidRDefault="008B3067" w:rsidP="00651293">
            <w:r w:rsidRPr="006A5DA2">
              <w:rPr>
                <w:b/>
              </w:rPr>
              <w:t xml:space="preserve">Aine 3 </w:t>
            </w:r>
            <w:r w:rsidRPr="006A5DA2">
              <w:rPr>
                <w:i/>
              </w:rPr>
              <w:t>jne, uusi sivu tarvittaessa</w:t>
            </w:r>
          </w:p>
        </w:tc>
      </w:tr>
      <w:tr w:rsidR="008B3067" w:rsidTr="008E7387">
        <w:tc>
          <w:tcPr>
            <w:tcW w:w="1897" w:type="dxa"/>
            <w:shd w:val="clear" w:color="auto" w:fill="FFC000"/>
          </w:tcPr>
          <w:p w:rsidR="008B3067" w:rsidRDefault="008B3067"/>
        </w:tc>
        <w:tc>
          <w:tcPr>
            <w:tcW w:w="1897" w:type="dxa"/>
          </w:tcPr>
          <w:p w:rsidR="008B3067" w:rsidRPr="006A5DA2" w:rsidRDefault="008B3067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8B3067" w:rsidRPr="006A5DA2" w:rsidRDefault="008B3067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8B3067" w:rsidRPr="006A5DA2" w:rsidRDefault="008B3067">
            <w:pPr>
              <w:rPr>
                <w:i/>
              </w:rPr>
            </w:pPr>
          </w:p>
        </w:tc>
        <w:tc>
          <w:tcPr>
            <w:tcW w:w="1335" w:type="dxa"/>
          </w:tcPr>
          <w:p w:rsidR="008B3067" w:rsidRPr="006A5DA2" w:rsidRDefault="008B3067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Pr="008E7387" w:rsidRDefault="006A5DA2" w:rsidP="008357FD">
            <w:pPr>
              <w:rPr>
                <w:b/>
              </w:rPr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 w:rsidP="004160F8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 w:rsidP="004160F8">
            <w:pPr>
              <w:rPr>
                <w:i/>
              </w:rPr>
            </w:pPr>
          </w:p>
        </w:tc>
        <w:tc>
          <w:tcPr>
            <w:tcW w:w="1335" w:type="dxa"/>
          </w:tcPr>
          <w:p w:rsidR="006A5DA2" w:rsidRPr="006A5DA2" w:rsidRDefault="006A5DA2" w:rsidP="004160F8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8357F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 w:rsidP="003B0798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 w:rsidP="003B0798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</w:rPr>
            </w:pPr>
          </w:p>
        </w:tc>
        <w:tc>
          <w:tcPr>
            <w:tcW w:w="1335" w:type="dxa"/>
          </w:tcPr>
          <w:p w:rsidR="006A5DA2" w:rsidRPr="006A5DA2" w:rsidRDefault="006A5DA2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8357F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 w:rsidP="00A609DC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</w:rPr>
            </w:pPr>
          </w:p>
        </w:tc>
        <w:tc>
          <w:tcPr>
            <w:tcW w:w="1335" w:type="dxa"/>
          </w:tcPr>
          <w:p w:rsidR="006A5DA2" w:rsidRPr="006A5DA2" w:rsidRDefault="006A5DA2" w:rsidP="00B550D1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8357F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</w:rPr>
            </w:pPr>
          </w:p>
        </w:tc>
        <w:tc>
          <w:tcPr>
            <w:tcW w:w="1335" w:type="dxa"/>
          </w:tcPr>
          <w:p w:rsidR="006A5DA2" w:rsidRPr="006A5DA2" w:rsidRDefault="006A5DA2" w:rsidP="00B550D1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8357F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</w:rPr>
            </w:pPr>
          </w:p>
        </w:tc>
        <w:tc>
          <w:tcPr>
            <w:tcW w:w="1335" w:type="dxa"/>
          </w:tcPr>
          <w:p w:rsidR="006A5DA2" w:rsidRPr="006A5DA2" w:rsidRDefault="006A5DA2" w:rsidP="00B550D1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BC14E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Pr="006A5DA2" w:rsidRDefault="006A5DA2" w:rsidP="00B550D1">
            <w:pPr>
              <w:rPr>
                <w:i/>
                <w:sz w:val="20"/>
                <w:szCs w:val="20"/>
              </w:rPr>
            </w:pPr>
          </w:p>
        </w:tc>
      </w:tr>
      <w:tr w:rsidR="006A5DA2" w:rsidTr="006A5DA2">
        <w:tc>
          <w:tcPr>
            <w:tcW w:w="10090" w:type="dxa"/>
            <w:gridSpan w:val="5"/>
            <w:shd w:val="clear" w:color="auto" w:fill="auto"/>
          </w:tcPr>
          <w:p w:rsidR="00AD3C9F" w:rsidRDefault="00AD3C9F" w:rsidP="00AD3C9F">
            <w:pPr>
              <w:jc w:val="center"/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BC14E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Pr="006A5DA2" w:rsidRDefault="006A5DA2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BC14ED">
            <w:pPr>
              <w:jc w:val="right"/>
            </w:pPr>
          </w:p>
        </w:tc>
        <w:tc>
          <w:tcPr>
            <w:tcW w:w="1897" w:type="dxa"/>
            <w:shd w:val="clear" w:color="auto" w:fill="BFBFBF" w:themeFill="background1" w:themeFillShade="BF"/>
          </w:tcPr>
          <w:p w:rsidR="006A5DA2" w:rsidRPr="006A5DA2" w:rsidRDefault="006A5DA2" w:rsidP="00C90EE8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 w:rsidP="0003370B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</w:tcPr>
          <w:p w:rsidR="006A5DA2" w:rsidRPr="006A5DA2" w:rsidRDefault="006A5DA2" w:rsidP="00C90EE8">
            <w:pPr>
              <w:rPr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1335" w:type="dxa"/>
          </w:tcPr>
          <w:p w:rsidR="006A5DA2" w:rsidRPr="006A5DA2" w:rsidRDefault="006A5DA2" w:rsidP="00661038">
            <w:pPr>
              <w:rPr>
                <w:i/>
                <w:sz w:val="20"/>
                <w:szCs w:val="20"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BC14E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Pr="006A5DA2" w:rsidRDefault="006A5DA2" w:rsidP="00661038">
            <w:pPr>
              <w:rPr>
                <w:i/>
                <w:sz w:val="20"/>
                <w:szCs w:val="20"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BC14E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 w:rsidP="00273EAC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Pr="006A5DA2" w:rsidRDefault="006A5DA2" w:rsidP="00661038">
            <w:pPr>
              <w:rPr>
                <w:i/>
                <w:sz w:val="20"/>
                <w:szCs w:val="20"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BC14E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Pr="006A5DA2" w:rsidRDefault="006A5DA2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BC14E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Pr="006A5DA2" w:rsidRDefault="006A5DA2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BC14E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Pr="006A5DA2" w:rsidRDefault="006A5DA2">
            <w:pPr>
              <w:rPr>
                <w:i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BC14ED">
            <w:pPr>
              <w:jc w:val="right"/>
            </w:pPr>
          </w:p>
        </w:tc>
        <w:tc>
          <w:tcPr>
            <w:tcW w:w="1897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Pr="006A5DA2" w:rsidRDefault="006A5DA2">
            <w:pPr>
              <w:rPr>
                <w:i/>
              </w:rPr>
            </w:pPr>
          </w:p>
        </w:tc>
      </w:tr>
      <w:tr w:rsidR="006A5DA2" w:rsidTr="006A5DA2">
        <w:tc>
          <w:tcPr>
            <w:tcW w:w="10090" w:type="dxa"/>
            <w:gridSpan w:val="5"/>
            <w:shd w:val="clear" w:color="auto" w:fill="auto"/>
          </w:tcPr>
          <w:p w:rsidR="006A5DA2" w:rsidRPr="008E7387" w:rsidRDefault="006A5DA2" w:rsidP="008E7387">
            <w:pPr>
              <w:jc w:val="center"/>
              <w:rPr>
                <w:b/>
              </w:rPr>
            </w:pPr>
          </w:p>
        </w:tc>
      </w:tr>
      <w:tr w:rsidR="006A5DA2" w:rsidTr="008E7387">
        <w:tc>
          <w:tcPr>
            <w:tcW w:w="1897" w:type="dxa"/>
            <w:shd w:val="clear" w:color="auto" w:fill="FFC000"/>
          </w:tcPr>
          <w:p w:rsidR="00AD3C9F" w:rsidRDefault="00AD3C9F" w:rsidP="00BC14ED">
            <w:pPr>
              <w:jc w:val="right"/>
            </w:pPr>
          </w:p>
        </w:tc>
        <w:tc>
          <w:tcPr>
            <w:tcW w:w="1897" w:type="dxa"/>
          </w:tcPr>
          <w:p w:rsidR="006A5DA2" w:rsidRPr="00273EAC" w:rsidRDefault="006A5DA2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auto"/>
          </w:tcPr>
          <w:p w:rsidR="006A5DA2" w:rsidRPr="006A5DA2" w:rsidRDefault="006A5DA2" w:rsidP="00273EAC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Default="006A5DA2"/>
        </w:tc>
      </w:tr>
      <w:tr w:rsidR="006A5DA2" w:rsidTr="008E7387">
        <w:tc>
          <w:tcPr>
            <w:tcW w:w="1897" w:type="dxa"/>
            <w:shd w:val="clear" w:color="auto" w:fill="FFC000"/>
          </w:tcPr>
          <w:p w:rsidR="006A5DA2" w:rsidRDefault="006A5DA2" w:rsidP="008E7387">
            <w:pPr>
              <w:jc w:val="right"/>
            </w:pPr>
          </w:p>
        </w:tc>
        <w:tc>
          <w:tcPr>
            <w:tcW w:w="1897" w:type="dxa"/>
          </w:tcPr>
          <w:p w:rsidR="006A5DA2" w:rsidRPr="00273EAC" w:rsidRDefault="006A5DA2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:rsidR="006A5DA2" w:rsidRPr="006A5DA2" w:rsidRDefault="006A5DA2">
            <w:pPr>
              <w:rPr>
                <w:i/>
                <w:sz w:val="20"/>
                <w:szCs w:val="20"/>
              </w:rPr>
            </w:pPr>
          </w:p>
        </w:tc>
        <w:tc>
          <w:tcPr>
            <w:tcW w:w="2710" w:type="dxa"/>
            <w:shd w:val="clear" w:color="auto" w:fill="BFBFBF" w:themeFill="background1" w:themeFillShade="BF"/>
          </w:tcPr>
          <w:p w:rsidR="006A5DA2" w:rsidRPr="006A5DA2" w:rsidRDefault="006A5DA2" w:rsidP="008E1FD9">
            <w:pPr>
              <w:rPr>
                <w:i/>
                <w:sz w:val="20"/>
                <w:szCs w:val="20"/>
              </w:rPr>
            </w:pPr>
          </w:p>
        </w:tc>
        <w:tc>
          <w:tcPr>
            <w:tcW w:w="1335" w:type="dxa"/>
          </w:tcPr>
          <w:p w:rsidR="006A5DA2" w:rsidRDefault="006A5DA2"/>
        </w:tc>
      </w:tr>
      <w:tr w:rsidR="006A5DA2" w:rsidTr="00273EAC">
        <w:tc>
          <w:tcPr>
            <w:tcW w:w="10090" w:type="dxa"/>
            <w:gridSpan w:val="5"/>
            <w:shd w:val="clear" w:color="auto" w:fill="auto"/>
          </w:tcPr>
          <w:p w:rsidR="002E004C" w:rsidRPr="002E004C" w:rsidRDefault="006A5DA2" w:rsidP="002E004C">
            <w:pPr>
              <w:rPr>
                <w:b/>
              </w:rPr>
            </w:pPr>
            <w:r>
              <w:rPr>
                <w:b/>
              </w:rPr>
              <w:t>T</w:t>
            </w:r>
            <w:r w:rsidR="008E1FD9">
              <w:rPr>
                <w:b/>
              </w:rPr>
              <w:t>oimenpide</w:t>
            </w:r>
            <w:r>
              <w:rPr>
                <w:b/>
              </w:rPr>
              <w:t>historia:</w:t>
            </w:r>
          </w:p>
          <w:p w:rsidR="006A5DA2" w:rsidRPr="008E1FD9" w:rsidRDefault="006A5DA2" w:rsidP="008E1FD9">
            <w:pPr>
              <w:jc w:val="center"/>
            </w:pPr>
          </w:p>
        </w:tc>
      </w:tr>
    </w:tbl>
    <w:p w:rsidR="00AA1504" w:rsidRDefault="00AA1504" w:rsidP="0026309F"/>
    <w:sectPr w:rsidR="00AA1504" w:rsidSect="0083205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5D" w:rsidRDefault="00B7155D" w:rsidP="009B5C0D">
      <w:pPr>
        <w:spacing w:after="0" w:line="240" w:lineRule="auto"/>
      </w:pPr>
      <w:r>
        <w:separator/>
      </w:r>
    </w:p>
  </w:endnote>
  <w:endnote w:type="continuationSeparator" w:id="0">
    <w:p w:rsidR="00B7155D" w:rsidRDefault="00B7155D" w:rsidP="009B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5D" w:rsidRDefault="00B7155D" w:rsidP="009B5C0D">
      <w:pPr>
        <w:spacing w:after="0" w:line="240" w:lineRule="auto"/>
      </w:pPr>
      <w:r>
        <w:separator/>
      </w:r>
    </w:p>
  </w:footnote>
  <w:footnote w:type="continuationSeparator" w:id="0">
    <w:p w:rsidR="00B7155D" w:rsidRDefault="00B7155D" w:rsidP="009B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0D" w:rsidRPr="009B5C0D" w:rsidRDefault="0026309F" w:rsidP="009B5C0D">
    <w:pPr>
      <w:pStyle w:val="Yltunniste"/>
      <w:rPr>
        <w:rFonts w:ascii="Times New Roman" w:hAnsi="Times New Roman"/>
        <w:lang w:val="en-GB"/>
      </w:rPr>
    </w:pPr>
    <w:r>
      <w:rPr>
        <w:rFonts w:ascii="Times New Roman" w:hAnsi="Times New Roman"/>
        <w:lang w:val="en-GB"/>
      </w:rPr>
      <w:t>Altistumisskenaariohanke /Chemphex /RV Chem Oy /Vepico Oy /</w:t>
    </w:r>
    <w:r w:rsidR="009B5C0D" w:rsidRPr="009B5C0D">
      <w:rPr>
        <w:rFonts w:ascii="Times New Roman" w:hAnsi="Times New Roman"/>
        <w:lang w:val="en-GB"/>
      </w:rPr>
      <w:t xml:space="preserve">Tukes </w:t>
    </w:r>
    <w:r>
      <w:rPr>
        <w:rFonts w:ascii="Times New Roman" w:hAnsi="Times New Roman"/>
        <w:lang w:val="en-GB"/>
      </w:rPr>
      <w:t>30</w:t>
    </w:r>
    <w:r w:rsidR="009B5C0D" w:rsidRPr="009B5C0D">
      <w:rPr>
        <w:rFonts w:ascii="Times New Roman" w:hAnsi="Times New Roman"/>
        <w:lang w:val="en-GB"/>
      </w:rPr>
      <w:t xml:space="preserve">.9.2014 </w:t>
    </w:r>
    <w:r>
      <w:rPr>
        <w:rFonts w:ascii="Times New Roman" w:hAnsi="Times New Roman"/>
        <w:lang w:val="en-GB"/>
      </w:rPr>
      <w:t xml:space="preserve">              </w:t>
    </w:r>
    <w:r w:rsidR="009B5C0D" w:rsidRPr="009B5C0D">
      <w:rPr>
        <w:rFonts w:ascii="Times New Roman" w:hAnsi="Times New Roman"/>
        <w:lang w:val="en-GB"/>
      </w:rPr>
      <w:t xml:space="preserve">Liite </w:t>
    </w:r>
    <w:r w:rsidR="009B5C0D">
      <w:rPr>
        <w:rFonts w:ascii="Times New Roman" w:hAnsi="Times New Roman"/>
        <w:lang w:val="en-GB"/>
      </w:rPr>
      <w:t>B.</w:t>
    </w:r>
    <w:r>
      <w:rPr>
        <w:rFonts w:ascii="Times New Roman" w:hAnsi="Times New Roman"/>
        <w:lang w:val="en-GB"/>
      </w:rPr>
      <w:t>3</w:t>
    </w:r>
    <w:r w:rsidR="009B5C0D" w:rsidRPr="009B5C0D">
      <w:rPr>
        <w:rFonts w:ascii="Times New Roman" w:hAnsi="Times New Roman"/>
        <w:lang w:val="en-GB"/>
      </w:rPr>
      <w:t>.</w:t>
    </w:r>
  </w:p>
  <w:p w:rsidR="009B5C0D" w:rsidRDefault="009B5C0D">
    <w:pPr>
      <w:pStyle w:val="Yltunniste"/>
    </w:pPr>
  </w:p>
  <w:p w:rsidR="009B5C0D" w:rsidRDefault="009B5C0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8539E"/>
    <w:multiLevelType w:val="hybridMultilevel"/>
    <w:tmpl w:val="23C6DF10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43FA"/>
    <w:multiLevelType w:val="hybridMultilevel"/>
    <w:tmpl w:val="0EC287A4"/>
    <w:lvl w:ilvl="0" w:tplc="0DC81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65D8F"/>
    <w:multiLevelType w:val="hybridMultilevel"/>
    <w:tmpl w:val="13B8DCB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04"/>
    <w:rsid w:val="0003370B"/>
    <w:rsid w:val="000C5488"/>
    <w:rsid w:val="0026309F"/>
    <w:rsid w:val="00273EAC"/>
    <w:rsid w:val="002E004C"/>
    <w:rsid w:val="003B0798"/>
    <w:rsid w:val="003C2165"/>
    <w:rsid w:val="00423C26"/>
    <w:rsid w:val="005A1E5C"/>
    <w:rsid w:val="00651293"/>
    <w:rsid w:val="006A5DA2"/>
    <w:rsid w:val="006D0BF2"/>
    <w:rsid w:val="006D2A7E"/>
    <w:rsid w:val="00760138"/>
    <w:rsid w:val="0083205A"/>
    <w:rsid w:val="008357FD"/>
    <w:rsid w:val="008B3067"/>
    <w:rsid w:val="008B7E7F"/>
    <w:rsid w:val="008E1FD9"/>
    <w:rsid w:val="008E7387"/>
    <w:rsid w:val="008F4E3C"/>
    <w:rsid w:val="009247CA"/>
    <w:rsid w:val="009B5C0D"/>
    <w:rsid w:val="00AA1504"/>
    <w:rsid w:val="00AD3C9F"/>
    <w:rsid w:val="00B37AE0"/>
    <w:rsid w:val="00B7155D"/>
    <w:rsid w:val="00BA5311"/>
    <w:rsid w:val="00BC14ED"/>
    <w:rsid w:val="00C01CB7"/>
    <w:rsid w:val="00C90EE8"/>
    <w:rsid w:val="00D4364D"/>
    <w:rsid w:val="00D53469"/>
    <w:rsid w:val="00E35057"/>
    <w:rsid w:val="00F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D986D7D-468F-428D-8B3E-55831740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D0BF2"/>
  </w:style>
  <w:style w:type="paragraph" w:styleId="Otsikko1">
    <w:name w:val="heading 1"/>
    <w:basedOn w:val="Normaali"/>
    <w:next w:val="Normaali"/>
    <w:link w:val="Otsikko1Char"/>
    <w:uiPriority w:val="9"/>
    <w:qFormat/>
    <w:rsid w:val="006A5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01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A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99"/>
    <w:qFormat/>
    <w:rsid w:val="003C216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99"/>
    <w:rsid w:val="003C21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rsid w:val="003C21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fi-FI"/>
    </w:rPr>
  </w:style>
  <w:style w:type="character" w:customStyle="1" w:styleId="AlaotsikkoChar">
    <w:name w:val="Alaotsikko Char"/>
    <w:basedOn w:val="Kappaleenoletusfontti"/>
    <w:link w:val="Alaotsikko"/>
    <w:uiPriority w:val="99"/>
    <w:rsid w:val="003C2165"/>
    <w:rPr>
      <w:rFonts w:ascii="Cambria" w:eastAsia="Times New Roman" w:hAnsi="Cambria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D4364D"/>
    <w:pPr>
      <w:ind w:left="720"/>
      <w:contextualSpacing/>
    </w:pPr>
  </w:style>
  <w:style w:type="paragraph" w:styleId="Eivli">
    <w:name w:val="No Spacing"/>
    <w:uiPriority w:val="1"/>
    <w:qFormat/>
    <w:rsid w:val="006A5DA2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6A5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9B5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B5C0D"/>
  </w:style>
  <w:style w:type="paragraph" w:styleId="Alatunniste">
    <w:name w:val="footer"/>
    <w:basedOn w:val="Normaali"/>
    <w:link w:val="AlatunnisteChar"/>
    <w:uiPriority w:val="99"/>
    <w:unhideWhenUsed/>
    <w:rsid w:val="009B5C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B5C0D"/>
  </w:style>
  <w:style w:type="paragraph" w:styleId="Seliteteksti">
    <w:name w:val="Balloon Text"/>
    <w:basedOn w:val="Normaali"/>
    <w:link w:val="SelitetekstiChar"/>
    <w:uiPriority w:val="99"/>
    <w:semiHidden/>
    <w:unhideWhenUsed/>
    <w:rsid w:val="009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5C0D"/>
    <w:rPr>
      <w:rFonts w:ascii="Tahoma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rsid w:val="00C01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ulukkoRuudukko1">
    <w:name w:val="Taulukko Ruudukko1"/>
    <w:basedOn w:val="Normaalitaulukko"/>
    <w:next w:val="TaulukkoRuudukko"/>
    <w:uiPriority w:val="59"/>
    <w:rsid w:val="00C0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Sanna Perkiö</cp:lastModifiedBy>
  <cp:revision>4</cp:revision>
  <cp:lastPrinted>2014-09-28T06:57:00Z</cp:lastPrinted>
  <dcterms:created xsi:type="dcterms:W3CDTF">2016-05-10T06:48:00Z</dcterms:created>
  <dcterms:modified xsi:type="dcterms:W3CDTF">2016-05-10T06:51:00Z</dcterms:modified>
</cp:coreProperties>
</file>